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3DE1" w14:textId="77777777" w:rsidR="00CF40DD" w:rsidRPr="00CF40DD" w:rsidRDefault="00CF40DD" w:rsidP="00CF40DD">
      <w:pPr>
        <w:spacing w:after="0" w:line="240" w:lineRule="auto"/>
        <w:rPr>
          <w:b/>
          <w:sz w:val="28"/>
        </w:rPr>
      </w:pPr>
      <w:r w:rsidRPr="00CF40DD">
        <w:rPr>
          <w:b/>
          <w:sz w:val="28"/>
        </w:rPr>
        <w:t>Decode the Nature How Post Genomics Bioinformatics Reveals the Why Behind Biology</w:t>
      </w:r>
    </w:p>
    <w:p w14:paraId="7110A19B" w14:textId="261499B1" w:rsidR="00CF40DD" w:rsidRDefault="00CF40DD" w:rsidP="00CF40DD">
      <w:pPr>
        <w:spacing w:after="0" w:line="240" w:lineRule="auto"/>
        <w:rPr>
          <w:b/>
          <w:sz w:val="28"/>
        </w:rPr>
      </w:pPr>
      <w:r w:rsidRPr="00CF40DD">
        <w:rPr>
          <w:b/>
          <w:sz w:val="28"/>
        </w:rPr>
        <w:t>From Population Genomics to Haplotype Resources for Precision Medicine in Thailand and Asia</w:t>
      </w:r>
    </w:p>
    <w:p w14:paraId="128FE000" w14:textId="55DF42C0" w:rsidR="00FC2FE6" w:rsidRDefault="00CF40DD" w:rsidP="00CF40DD">
      <w:pPr>
        <w:spacing w:after="0" w:line="240" w:lineRule="auto"/>
      </w:pPr>
      <w:r>
        <w:rPr>
          <w:u w:val="single"/>
        </w:rPr>
        <w:t>Masao Nagasaki</w:t>
      </w:r>
      <w:r>
        <w:t>*</w:t>
      </w:r>
    </w:p>
    <w:p w14:paraId="34911DBE" w14:textId="77777777" w:rsidR="00FC2FE6" w:rsidRDefault="00CF40DD">
      <w:pPr>
        <w:spacing w:after="120" w:line="240" w:lineRule="auto"/>
      </w:pPr>
      <w:r>
        <w:t xml:space="preserve">Division of Biomedical Information Analysis, Medical Research Center for High Depth Omics, Medical Institute of Bioregulation, Kyushu </w:t>
      </w:r>
      <w:r>
        <w:t>University, Fukuoka, Japan</w:t>
      </w:r>
    </w:p>
    <w:p w14:paraId="0FDB991F" w14:textId="77777777" w:rsidR="00CF40DD" w:rsidRDefault="00CF40DD">
      <w:pPr>
        <w:spacing w:before="120" w:after="120" w:line="240" w:lineRule="auto"/>
        <w:rPr>
          <w:b/>
        </w:rPr>
      </w:pPr>
    </w:p>
    <w:p w14:paraId="3E2ECF46" w14:textId="7F58E1CE" w:rsidR="00FC2FE6" w:rsidRDefault="00CF40DD">
      <w:pPr>
        <w:spacing w:before="120" w:after="120" w:line="240" w:lineRule="auto"/>
      </w:pPr>
      <w:r>
        <w:rPr>
          <w:b/>
        </w:rPr>
        <w:t>Abstract</w:t>
      </w:r>
    </w:p>
    <w:p w14:paraId="24D294B0" w14:textId="768DE258" w:rsidR="00FC2FE6" w:rsidRDefault="00CF40DD">
      <w:pPr>
        <w:spacing w:after="120" w:line="240" w:lineRule="auto"/>
      </w:pPr>
      <w:r>
        <w:t xml:space="preserve">Bioinformatics is moving from cataloging genomic variants to explaining why molecular diversity shapes biological function, disease risk, drug response, and precision medicine. This shift is important as national genome </w:t>
      </w:r>
      <w:r>
        <w:t>and phenome programs generate population-scale omics data that require interoperable resources, reproducible analysis, data sharing, and local interpretation. In this plenary lecture, I will discuss how post-genomic bioinformatics can reveal the biological</w:t>
      </w:r>
      <w:r>
        <w:t xml:space="preserve"> "why" by integrating systems biology, population genomics, pharmacogenomics, long-read sequencing, haplotype resources, data infrastructure, and regulatory prediction.</w:t>
      </w:r>
    </w:p>
    <w:p w14:paraId="3C3150FD" w14:textId="77777777" w:rsidR="00CF40DD" w:rsidRDefault="00CF40DD">
      <w:pPr>
        <w:spacing w:after="120" w:line="240" w:lineRule="auto"/>
      </w:pPr>
    </w:p>
    <w:p w14:paraId="3D9ED8C3" w14:textId="4AFCE009" w:rsidR="00FC2FE6" w:rsidRDefault="00CF40DD">
      <w:pPr>
        <w:spacing w:after="120" w:line="240" w:lineRule="auto"/>
      </w:pPr>
      <w:r>
        <w:t xml:space="preserve">I will first revisit lessons from pathway modeling and systems biology, including Cell </w:t>
      </w:r>
      <w:r>
        <w:t>Illustrator and executable biological pathway models. These efforts clarified both the value and difficulty of explaining biology with average models, especially when genetic background, cellular context, environmental exposure, and population diversity ar</w:t>
      </w:r>
      <w:r>
        <w:t>e not fully considered. I will then introduce NUDT15 as an example of population-specific pharmacogenomics, showing how genetic variation can explain why thiopurine treatment causes severe adverse events in some patients and why population-aware genomic in</w:t>
      </w:r>
      <w:r>
        <w:t>terpretation is essential for precision medicine.</w:t>
      </w:r>
    </w:p>
    <w:p w14:paraId="622BA936" w14:textId="77777777" w:rsidR="00CF40DD" w:rsidRDefault="00CF40DD">
      <w:pPr>
        <w:spacing w:after="120" w:line="240" w:lineRule="auto"/>
      </w:pPr>
    </w:p>
    <w:p w14:paraId="11EE8CDB" w14:textId="400764B1" w:rsidR="00FC2FE6" w:rsidRDefault="00CF40DD">
      <w:pPr>
        <w:spacing w:after="120" w:line="240" w:lineRule="auto"/>
      </w:pPr>
      <w:r>
        <w:t>Building on Japanese population genome studies and short-read sequencing resources, I will discuss the transition from single variants to gene-level haplotypes. JoGo and the amino acid, coding transcript, a</w:t>
      </w:r>
      <w:r>
        <w:t>nd gene body (ACTG) framework provide standardized identifiers for human gene haplotypes, covering 19,194 standardized genes and more than 4.6 million haplotypes from 258 haplotype-resolved genomes, while linking sequence diversity to clinical variants, ge</w:t>
      </w:r>
      <w:r>
        <w:t>nome-wide association signals, expression quantitative trait loci, and transcriptomic evidence.</w:t>
      </w:r>
    </w:p>
    <w:p w14:paraId="76AEBF9A" w14:textId="77777777" w:rsidR="00CF40DD" w:rsidRDefault="00CF40DD">
      <w:pPr>
        <w:spacing w:after="120" w:line="240" w:lineRule="auto"/>
      </w:pPr>
    </w:p>
    <w:p w14:paraId="079E6323" w14:textId="77777777" w:rsidR="00FC2FE6" w:rsidRDefault="00CF40DD">
      <w:pPr>
        <w:spacing w:after="0" w:line="240" w:lineRule="auto"/>
      </w:pPr>
      <w:r>
        <w:t>Finally, I will consider how long-read sequencing, structural variation analysis, transparent nomenclature, cross-population comparisons, and regulatory predict</w:t>
      </w:r>
      <w:r>
        <w:t>ion methods such as QTFPred can support precision medicine and post-genomic discovery in Thailand and Asia. The central message is that bioinformatics should build standards, computational environments, and networks to turn local genomic diversity into bio</w:t>
      </w:r>
      <w:r>
        <w:t>logical explanation and health benefit.</w:t>
      </w:r>
    </w:p>
    <w:sectPr w:rsidR="00FC2FE6"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CF40DD"/>
    <w:rsid w:val="00FC2F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3CF6E1"/>
  <w14:defaultImageDpi w14:val="300"/>
  <w15:docId w15:val="{9286C973-C3FE-4187-9137-A274BD15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cs="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Decode the Nature: How Post-Genomics Bioinformatics Reveals the "Why" Behind Biology</dc:title>
  <dc:subject>TBRN 2026 abstract</dc:subject>
  <dc:creator/>
  <cp:keywords>TBRN 2026, bioinformatics, post-genomics, Masao Nagasaki</cp:keywords>
  <dc:description>generated by python-docx</dc:description>
  <cp:lastModifiedBy>NAGASAKI MASAO</cp:lastModifiedBy>
  <cp:revision>2</cp:revision>
  <dcterms:created xsi:type="dcterms:W3CDTF">2013-12-23T23:15:00Z</dcterms:created>
  <dcterms:modified xsi:type="dcterms:W3CDTF">2026-05-07T07:25:00Z</dcterms:modified>
  <cp:category/>
</cp:coreProperties>
</file>