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5AEBE" w14:textId="77777777">
      <w:pPr>
        <w:pStyle w:val="aa"/>
        <w:spacing w:after="0"/>
        <w:jc w:val="center"/>
      </w:pPr>
      <w:r>
        <w:t>Curriculum Vitae</w:t>
      </w:r>
    </w:p>
    <w:p w14:paraId="084D8A84" w14:textId="77777777">
      <w:pPr>
        <w:spacing w:after="80"/>
        <w:jc w:val="center"/>
      </w:pPr>
      <w:r>
        <w:rPr>
          <w:b/>
          <w:sz w:val="28"/>
        </w:rPr>
        <w:t>Masao Nagasaki, Ph.D.</w:t>
      </w:r>
    </w:p>
    <w:tbl>
      <w:tblPr>
        <w:tblW w:w="0" w:type="auto"/>
        <w:jc w:val="center"/>
        <w:tblLook w:val="04A0" w:firstRow="1" w:lastRow="0" w:firstColumn="1" w:lastColumn="0" w:noHBand="0" w:noVBand="1"/>
      </w:tblPr>
      <w:tblGrid>
        <w:gridCol w:w="2880"/>
        <w:gridCol w:w="6768"/>
      </w:tblGrid>
      <w:tr w14:paraId="05537462" w14:textId="77777777">
        <w:trPr>
          <w:jc w:val="center"/>
        </w:trPr>
        <w:tc>
          <w:tcPr>
            <w:tcW w:w="2880" w:type="dxa"/>
          </w:tcPr>
          <w:p w14:paraId="21C7951D" w14:textId="77777777">
            <w:pPr>
              <w:spacing w:after="0"/>
            </w:pPr>
            <w:r>
              <w:rPr>
                <w:b/>
              </w:rPr>
              <w:t>Current appointments</w:t>
            </w:r>
          </w:p>
        </w:tc>
        <w:tc>
          <w:tcPr>
            <w:tcW w:w="6768" w:type="dxa"/>
          </w:tcPr>
          <w:p w14:paraId="00B044FE" w14:textId="77777777">
            <w:pPr>
              <w:spacing w:after="0"/>
            </w:pPr>
            <w:r>
              <w:t>Professor, Division of Biomedical Information Analysis, Medical Research Center for High Depth Omics, Medical Institute of Bioregulation, Kyushu University</w:t>
            </w:r>
            <w:r>
              <w:br/>
              <w:t>Specially Appointed Professor, Kyoto-McGill International Collaborative Program in Genomic Medicine (Joint Ph.D.), Graduate School of Medicine, Kyoto University</w:t>
            </w:r>
          </w:p>
        </w:tc>
      </w:tr>
      <w:tr w14:paraId="46EB8768" w14:textId="77777777">
        <w:trPr>
          <w:jc w:val="center"/>
        </w:trPr>
        <w:tc>
          <w:tcPr>
            <w:tcW w:w="2880" w:type="dxa"/>
          </w:tcPr>
          <w:p w14:paraId="6DA4783D" w14:textId="77777777">
            <w:pPr>
              <w:spacing w:after="0"/>
            </w:pPr>
            <w:r>
              <w:rPr>
                <w:b/>
              </w:rPr>
              <w:t>Laboratory URL</w:t>
            </w:r>
          </w:p>
        </w:tc>
        <w:tc>
          <w:tcPr>
            <w:tcW w:w="6768" w:type="dxa"/>
          </w:tcPr>
          <w:p w14:paraId="59A5C10A" w14:textId="77777777">
            <w:pPr>
              <w:spacing w:after="0"/>
            </w:pPr>
            <w:r>
              <w:t>https://nagasakilab.csml.org/en/</w:t>
            </w:r>
          </w:p>
        </w:tc>
      </w:tr>
      <w:tr w14:paraId="686EE1C9" w14:textId="77777777">
        <w:trPr>
          <w:jc w:val="center"/>
        </w:trPr>
        <w:tc>
          <w:tcPr>
            <w:tcW w:w="2880" w:type="dxa"/>
          </w:tcPr>
          <w:p w14:paraId="54B67466" w14:textId="77777777">
            <w:pPr>
              <w:spacing w:after="0"/>
            </w:pPr>
            <w:r>
              <w:rPr>
                <w:b/>
              </w:rPr>
              <w:t>Publication profiles</w:t>
            </w:r>
          </w:p>
        </w:tc>
        <w:tc>
          <w:tcPr>
            <w:tcW w:w="6768" w:type="dxa"/>
          </w:tcPr>
          <w:p w14:paraId="769C622A" w14:textId="77777777">
            <w:pPr>
              <w:spacing w:after="0"/>
            </w:pPr>
            <w:r>
              <w:t>Google Scholar: https://scholar.google.co.jp/citations?user=S-hn3sMAAAAJ&amp;hl=ja</w:t>
            </w:r>
            <w:r>
              <w:br/>
              <w:t>researchmap: https://researchmap.jp/m.nagasaki?lang=en</w:t>
            </w:r>
          </w:p>
        </w:tc>
      </w:tr>
    </w:tbl>
    <w:p w14:paraId="00D8D808" w14:textId="77777777">
      <w:pPr>
        <w:pStyle w:val="1"/>
      </w:pPr>
      <w:r>
        <w:t>Education</w:t>
      </w:r>
    </w:p>
    <w:p w14:paraId="19E44FA0" w14:textId="77777777">
      <w:pPr>
        <w:pStyle w:val="a0"/>
        <w:spacing w:after="40" w:line="245" w:lineRule="auto"/>
        <w:ind w:left="259"/>
      </w:pPr>
      <w:r>
        <w:t>April 1994 - March 1998: B.S., Department of Information Science, The University of Tokyo</w:t>
      </w:r>
    </w:p>
    <w:p w14:paraId="66CF60C0" w14:textId="77777777">
      <w:pPr>
        <w:pStyle w:val="a0"/>
        <w:spacing w:after="40" w:line="245" w:lineRule="auto"/>
        <w:ind w:left="259"/>
      </w:pPr>
      <w:r>
        <w:t>April 1998 - March 2000: M.S., Graduate School of Information Science, The University of Tokyo</w:t>
      </w:r>
    </w:p>
    <w:p w14:paraId="3CBF90DC" w14:textId="77777777">
      <w:pPr>
        <w:pStyle w:val="a0"/>
        <w:spacing w:after="40" w:line="245" w:lineRule="auto"/>
        <w:ind w:left="259"/>
      </w:pPr>
      <w:r>
        <w:t>April 2000 - March 2004: Ph.D. (Science), Graduate School of Information Science, The University of Tokyo</w:t>
      </w:r>
    </w:p>
    <w:p w14:paraId="1C2527AF" w14:textId="77777777">
      <w:pPr>
        <w:pStyle w:val="1"/>
      </w:pPr>
      <w:r>
        <w:t>Professional Appointments</w:t>
      </w:r>
    </w:p>
    <w:p w14:paraId="58701D4B" w14:textId="77777777">
      <w:pPr>
        <w:pStyle w:val="a0"/>
        <w:spacing w:after="40" w:line="245" w:lineRule="auto"/>
        <w:ind w:left="259"/>
      </w:pPr>
      <w:r>
        <w:t>April 2001 - March 2003: Doctoral Fellow, Human Genome Center, Institute of Medical Science, The University of Tokyo</w:t>
      </w:r>
    </w:p>
    <w:p w14:paraId="6020B357" w14:textId="77777777">
      <w:pPr>
        <w:pStyle w:val="a0"/>
        <w:spacing w:after="40" w:line="245" w:lineRule="auto"/>
        <w:ind w:left="259"/>
      </w:pPr>
      <w:r>
        <w:t>April 2004 - March 2005: Post-Doctoral Fellow, Human Genome Center, Institute of Medical Science, The University of Tokyo</w:t>
      </w:r>
    </w:p>
    <w:p w14:paraId="618CFC6D" w14:textId="77777777">
      <w:pPr>
        <w:pStyle w:val="a0"/>
        <w:spacing w:after="40" w:line="245" w:lineRule="auto"/>
        <w:ind w:left="259"/>
      </w:pPr>
      <w:r>
        <w:t>April 2005 - January 2011: Assistant Professor, Human Genome Center, Institute of Medical Science, The University of Tokyo</w:t>
      </w:r>
    </w:p>
    <w:p w14:paraId="78BCCA0B" w14:textId="77777777">
      <w:pPr>
        <w:pStyle w:val="a0"/>
        <w:spacing w:after="40" w:line="245" w:lineRule="auto"/>
        <w:ind w:left="259"/>
      </w:pPr>
      <w:r>
        <w:t>January 2011 - March 2012: Associate Professor, Human Genome Center, Institute of Medical Science, The University of Tokyo</w:t>
      </w:r>
    </w:p>
    <w:p w14:paraId="7DA01023" w14:textId="77777777">
      <w:pPr>
        <w:pStyle w:val="a0"/>
        <w:spacing w:after="40" w:line="245" w:lineRule="auto"/>
        <w:ind w:left="259"/>
      </w:pPr>
      <w:r>
        <w:t>April 2012 - March 2018: Professor, Department of Integrative Genomics, Tohoku Medical Megabank Organization, Tohoku University; Group Leader of In Silico Analysis</w:t>
      </w:r>
    </w:p>
    <w:p w14:paraId="00981092" w14:textId="77777777">
      <w:pPr>
        <w:pStyle w:val="a0"/>
        <w:spacing w:after="40" w:line="245" w:lineRule="auto"/>
        <w:ind w:left="259"/>
      </w:pPr>
      <w:r>
        <w:t>April 2019 - March 2023: Program-Specific Professor, Center for Genomic Medicine, Graduate School of Medicine, Kyoto University</w:t>
      </w:r>
    </w:p>
    <w:p w14:paraId="64C05C45" w14:textId="77777777">
      <w:pPr>
        <w:pStyle w:val="a0"/>
        <w:spacing w:after="40" w:line="245" w:lineRule="auto"/>
        <w:ind w:left="259"/>
      </w:pPr>
      <w:r>
        <w:t>April 2023 - May 2026: Specially Appointed Professor, Department of Disease Genome Epidemiology, Center for Genomic Medicine, Graduate School of Medicine, Kyoto University</w:t>
      </w:r>
    </w:p>
    <w:p w14:paraId="42A0BBDA" w14:textId="77777777">
      <w:pPr>
        <w:pStyle w:val="a0"/>
        <w:spacing w:after="40" w:line="245" w:lineRule="auto"/>
        <w:ind w:left="259"/>
      </w:pPr>
      <w:r>
        <w:t>April 2023 - Present: Professor, Division of Biomedical Information Analysis, Medical Research Center for High Depth Omics, Medical Institute of Bioregulation, Kyushu University</w:t>
      </w:r>
    </w:p>
    <w:p w14:paraId="2B537802" w14:textId="77777777">
      <w:pPr>
        <w:pStyle w:val="a0"/>
        <w:spacing w:after="40" w:line="245" w:lineRule="auto"/>
        <w:ind w:left="259"/>
      </w:pPr>
      <w:r>
        <w:t>April 2026 - Present: Specially Appointed Professor, Kyoto-McGill International Collaborative Program in Genomic Medicine (Joint Ph.D.), Graduate School of Medicine, Kyoto University</w:t>
      </w:r>
    </w:p>
    <w:p w14:paraId="3C2FA816" w14:textId="77777777">
      <w:pPr>
        <w:pStyle w:val="1"/>
      </w:pPr>
      <w:r>
        <w:t>Research Areas and Keywords</w:t>
      </w:r>
    </w:p>
    <w:p w14:paraId="0B503926" w14:textId="77777777">
      <w:r>
        <w:t>Bioinformatics; systems biology; genome informatics; computational biology; statistical genetics; genomic medicine; population-scale whole-genome sequencing; Japanese genome reference panels; population-specific SNP arrays; human gene-haplotype dictionaries; pangenomics; omics data analysis; single-cell and spatial omics; population genetics; medical informatics; high-performance and cloud computing; pathway modeling and simulation; data assimilation; secure genomic data infrastructure; quantum-secure cloud; quantum-classical hybrid and quantum machine learning for biomedical information analysis.</w:t>
      </w:r>
    </w:p>
    <w:p w14:paraId="1FAD2286" w14:textId="77777777">
      <w:pPr>
        <w:pStyle w:val="1"/>
      </w:pPr>
      <w:r>
        <w:t>Research Summary</w:t>
      </w:r>
    </w:p>
    <w:p w14:paraId="50123F9A" w14:textId="77777777">
      <w:r>
        <w:t>Professor Nagasaki develops algorithms, statistical methods, and software platforms that translate complex biomedical data into resources usable by experimental biologists, medical researchers, and clinical genomics teams. His early work established computational foundations for systems biology, including Petri-net-based pathway modeling, CSML/Cell Illustrator, and data-assimilation approaches for estimating dynamic biological pathway models on high-performance computing environments [1-6]. In the NGS era, his work expanded to cancer genome analysis and population-scale human genome informatics [7]. He led the construction of Japan's first high-depth whole-genome reference panel from 1,070 general-population Japanese individuals, developed Japanese genome variation resources, and designed the population-specific SNP genotyping platform Japonica Array; these resources improved genotype imputation, served as population controls for rare-disease and pathogenic-variant interpretation, and have been applied across multiple disease studies [8-15]. He also designed and implemented cloud/hybrid-cloud analysis frameworks for efficient processing of more than 10,000 whole genomes [19]. More recent contributions include international GWAS/meta-analysis projects, Japan-Saudi pangenome collaboration, quantum-enabled biomedical data infrastructure and quantum-classical machine learning, and JoGo/ACTG, a world-first genome-wide dictionary of human gene haplotypes covering 4.7 million haplotypes across 19,194 genes [16-23].</w:t>
      </w:r>
    </w:p>
    <w:p w14:paraId="671ED760" w14:textId="77777777">
      <w:pPr>
        <w:pStyle w:val="1"/>
      </w:pPr>
      <w:r>
        <w:t>Selected Research Highlights</w:t>
      </w:r>
    </w:p>
    <w:p w14:paraId="25397550" w14:textId="77777777">
      <w:pPr>
        <w:pStyle w:val="a0"/>
        <w:spacing w:after="40" w:line="245" w:lineRule="auto"/>
        <w:ind w:left="259"/>
      </w:pPr>
      <w:r>
        <w:t>Systems biology, Cell Illustrator, and data assimilation: developed CSML/Cell Illustrator environments for modeling, visualizing, and simulating biological pathways, together with data-assimilation methods for parameter estimation of dynamic pathway models on large-scale computers [1-6].</w:t>
      </w:r>
    </w:p>
    <w:p w14:paraId="28564612" w14:textId="77777777">
      <w:pPr>
        <w:pStyle w:val="a0"/>
        <w:spacing w:after="40" w:line="245" w:lineRule="auto"/>
        <w:ind w:left="259"/>
      </w:pPr>
      <w:r>
        <w:t>Japanese genome reference resources and population controls: led the first high-depth WGS reference panel of 1,070 general-population Japanese individuals and subsequent Japanese variation resources, which supported rare-variant discovery, carrier-frequency estimation, and population-control interpretation for rare-disease and clinical genomics studies [8,9,12-14].</w:t>
      </w:r>
    </w:p>
    <w:p w14:paraId="10CAE95F" w14:textId="77777777">
      <w:pPr>
        <w:pStyle w:val="a0"/>
        <w:spacing w:after="40" w:line="245" w:lineRule="auto"/>
        <w:ind w:left="259"/>
      </w:pPr>
      <w:r>
        <w:lastRenderedPageBreak/>
        <w:t>Population-specific genotyping and disease genetics: designed the Japonica Array, a Japanese population-specific SNP array that improved genotype imputation and has been used in multiple disease studies, including severe ocular complications of Stevens-Johnson syndrome and inflammatory bowel disease [10,11,15].</w:t>
      </w:r>
    </w:p>
    <w:p w14:paraId="5367AA44" w14:textId="77777777">
      <w:pPr>
        <w:pStyle w:val="a0"/>
        <w:spacing w:after="40" w:line="245" w:lineRule="auto"/>
        <w:ind w:left="259"/>
      </w:pPr>
      <w:r>
        <w:t>Large-scale NGS, high-performance, and cloud analysis: built analysis pipelines and computational designs for cancer genome sequencing, cohort-scale human genomics, and hybrid-cloud processing of more than 10,000 whole genomes [7,19].</w:t>
      </w:r>
    </w:p>
    <w:p w14:paraId="4AFBDADA" w14:textId="77777777">
      <w:pPr>
        <w:pStyle w:val="a0"/>
        <w:spacing w:after="40" w:line="245" w:lineRule="auto"/>
        <w:ind w:left="259"/>
      </w:pPr>
      <w:r>
        <w:t>International meta-analysis, pangenomics, and statistical genetics: participated as a Japanese bioinformatics/statistical genetics and data-analysis team member in international meta-analyses and genome-analysis collaborations, including amyotrophic lateral sclerosis, primary biliary cholangitis, inflammatory bowel disease across ancestries, and Japan-Saudi pangenome graphs [16,17,20,21].</w:t>
      </w:r>
    </w:p>
    <w:p w14:paraId="3B07C978" w14:textId="77777777">
      <w:pPr>
        <w:pStyle w:val="a0"/>
        <w:spacing w:after="40" w:line="245" w:lineRule="auto"/>
        <w:ind w:left="259"/>
      </w:pPr>
      <w:r>
        <w:t>Advanced biomedical informatics, quantum AI, and human haplotypes: advanced quantum-secure secondary utilization of genomic data, quantum-classical machine learning for base-resolution transcription-factor binding prediction, and JoGo/ACTG, a world-first genome-wide human gene-haplotype dictionary; current work connects high-depth, single-cell, and spatial omics with genomic medicine [18,22,23].</w:t>
      </w:r>
    </w:p>
    <w:p w14:paraId="34C8C621" w14:textId="77777777">
      <w:pPr>
        <w:pStyle w:val="1"/>
      </w:pPr>
      <w:r>
        <w:t>Research History and Contributions</w:t>
      </w:r>
    </w:p>
    <w:p w14:paraId="1565A90C" w14:textId="77777777">
      <w:r>
        <w:t>1999 onward: Developed modeling, simulation, and analysis software environments for biological pathways, including metabolic pathways, gene regulatory networks, signal transduction pathways, cell-cell interactions, and miRNA regulation. Related projects include CSML, Cell Illustrator Online, Cell Illustrator, and Petri-net/CSML-based pathway resources [1,3-5].</w:t>
      </w:r>
    </w:p>
    <w:p w14:paraId="7812E8A7" w14:textId="77777777">
      <w:r>
        <w:t>2006 onward: Advanced data-assimilation and statistical approaches for estimating parameters and inferring dynamic biological pathways from time-course genomic and proteomic data, supporting practical systems biology modeling on high-performance computing environments [2,6].</w:t>
      </w:r>
    </w:p>
    <w:p w14:paraId="087450D2" w14:textId="77777777">
      <w:r>
        <w:t>2009 - March 2012: Built and managed stable analysis infrastructure and custom NGS pipelines on the Shirokane supercomputer at the Institute of Medical Science, The University of Tokyo, supporting large-scale cancer genome sequencing data analysis including the ICGC liver cancer project [7].</w:t>
      </w:r>
    </w:p>
    <w:p w14:paraId="714D4F65" w14:textId="77777777">
      <w:r>
        <w:t>April 2012 - March 2019: Served as full professor at Tohoku University, leading in silico processing and analysis of massive NGS cohort data. Major outputs included the 1,070 Japanese high-depth WGS reference panel, iJGVD, Japonica Array, population-control resources for pathogenic and rare-variant interpretation, and downstream integrative analyses combining RNA-Seq, BS-Seq, ChIP-Seq, Exome-Seq, and medical diagnostic data [8-15].</w:t>
      </w:r>
    </w:p>
    <w:p w14:paraId="3DEBBDFE" w14:textId="77777777">
      <w:r>
        <w:t>April 2019 - March 2023: Continued genomics, omics, and integrative analysis of large-scale life science data at Kyoto University. Activities included international GWAS/meta-analysis collaborations, statistical genetics in disease studies, and development of secure and hybrid-cloud infrastructures for efficient processing and secondary utilization of large-scale human genome data, including more than 10,000 whole genomes [16-20]. Continued Kyoto University research and educational activities as Specially Appointed Professor from 2023 onward.</w:t>
      </w:r>
    </w:p>
    <w:p w14:paraId="17E48D1F" w14:textId="77777777">
      <w:r>
        <w:t>April 2023 - Present: At Kyushu University, focuses on interpreting biological and medical questions by integrating phenotype- and disease-associated variants with high-depth, single-cell, and spatial omics technologies. Current activities include analysis of complex structural polymorphisms in immune-related regions, Japan-Saudi pangenome collaboration, quantum-classical hybrid machine learning for genomic analysis, and JoGo/ACTG, a genome-wide human gene-haplotype nomenclature and dictionary resource [21-23].</w:t>
      </w:r>
    </w:p>
    <w:p w14:paraId="36069B8E" w14:textId="77777777">
      <w:pPr>
        <w:pStyle w:val="1"/>
      </w:pPr>
      <w:r>
        <w:t>Selected Publications and References</w:t>
      </w:r>
    </w:p>
    <w:p w14:paraId="368A6064" w14:textId="77777777">
      <w:pPr>
        <w:pStyle w:val="a0"/>
        <w:numPr>
          <w:ilvl w:val="0"/>
          <w:numId w:val="10"/>
        </w:numPr>
        <w:spacing w:after="40" w:line="245" w:lineRule="auto"/>
      </w:pPr>
      <w:r>
        <w:t xml:space="preserve">M. Nagasaki, A. Doi, H. Matsuno, and S. Miyano. A versatile Petri net based </w:t>
      </w:r>
      <w:r>
        <w:t>architecture for modeling and simulation of complex biological processes. Genome Inform. 15(1):180-197, 2004.</w:t>
      </w:r>
    </w:p>
    <w:p w14:paraId="75A0B2F1" w14:textId="77777777">
      <w:pPr>
        <w:pStyle w:val="a0"/>
        <w:numPr>
          <w:ilvl w:val="0"/>
          <w:numId w:val="10"/>
        </w:numPr>
        <w:spacing w:after="40" w:line="245" w:lineRule="auto"/>
      </w:pPr>
      <w:r>
        <w:t>M. Nagasaki, R. Yamaguchi, R. Yoshida, S. Imoto, A. Doi, Y. Tamada, H. Matsuno, S. Miyano, and T. Higuchi. Genomic data assimilation for estimatin</w:t>
      </w:r>
      <w:r>
        <w:t>g hybrid functional Petri net from time-course gene expression data. Genome Inform. 17(1):46-61, 2006.</w:t>
      </w:r>
    </w:p>
    <w:p w14:paraId="30FDC6DB" w14:textId="77777777">
      <w:pPr>
        <w:pStyle w:val="a0"/>
        <w:numPr>
          <w:ilvl w:val="0"/>
          <w:numId w:val="10"/>
        </w:numPr>
        <w:spacing w:after="40" w:line="245" w:lineRule="auto"/>
      </w:pPr>
      <w:r>
        <w:t>M. Nagasaki, A. Saito, C. Li, E. Jeong, and S. Miyano. Systematic reconstruction of TRANSPATH data into cell system markup language. BMC Syst Biol. 2:53,</w:t>
      </w:r>
      <w:r>
        <w:t xml:space="preserve"> 2008.</w:t>
      </w:r>
    </w:p>
    <w:p w14:paraId="12C28A6A" w14:textId="77777777">
      <w:pPr>
        <w:pStyle w:val="a0"/>
        <w:numPr>
          <w:ilvl w:val="0"/>
          <w:numId w:val="10"/>
        </w:numPr>
        <w:spacing w:after="40" w:line="245" w:lineRule="auto"/>
      </w:pPr>
      <w:r>
        <w:t>M. Nagasaki, A. Saito, A. Doi, H. Matsuno, and S. Miyano. Foundations of Systems Biology: Using Cell Illustrator and Pathway Databases. Springer, 2009. DOI: 10.1007/978-1-84882-023-4.</w:t>
      </w:r>
    </w:p>
    <w:p w14:paraId="4C44C997" w14:textId="77777777">
      <w:pPr>
        <w:pStyle w:val="a0"/>
        <w:numPr>
          <w:ilvl w:val="0"/>
          <w:numId w:val="10"/>
        </w:numPr>
        <w:spacing w:after="40" w:line="245" w:lineRule="auto"/>
      </w:pPr>
      <w:r>
        <w:t xml:space="preserve">M. Nagasaki, A. Saito, E. Jeong, C. Li, K. Kojima, E. Ikeda, and </w:t>
      </w:r>
      <w:r>
        <w:t>S. Miyano. Cell Illustrator 4.0: a computational platform for systems biology. In Silico Biol. 10(1):5-26, 2010.</w:t>
      </w:r>
    </w:p>
    <w:p w14:paraId="05F691D5" w14:textId="524879D2">
      <w:pPr>
        <w:pStyle w:val="a0"/>
        <w:numPr>
          <w:ilvl w:val="0"/>
          <w:numId w:val="10"/>
        </w:numPr>
        <w:spacing w:after="40" w:line="245" w:lineRule="auto"/>
      </w:pPr>
      <w:r>
        <w:t>C. H. Koh</w:t>
      </w:r>
      <w:r>
        <w:rPr>
          <w:rFonts w:ascii="ＭＳ 明朝" w:eastAsia="ＭＳ 明朝" w:hAnsi="ＭＳ 明朝" w:cs="ＭＳ 明朝" w:hint="eastAsia"/>
          <w:lang w:eastAsia="ja-JP"/>
        </w:rPr>
        <w:t>*</w:t>
      </w:r>
      <w:r>
        <w:t>, M. Nagasaki</w:t>
      </w:r>
      <w:r>
        <w:t>*</w:t>
      </w:r>
      <w:r>
        <w:t>, A. Saito, L. Wong, and S. Miyano. DA 1.0: parameter estimation of biological pathways using data assimilation approach.</w:t>
      </w:r>
      <w:r>
        <w:t xml:space="preserve"> Bioinformatics. 26(14):1794-1796, 2010.</w:t>
      </w:r>
    </w:p>
    <w:p w14:paraId="5F45420A" w14:textId="77777777">
      <w:pPr>
        <w:pStyle w:val="a0"/>
        <w:numPr>
          <w:ilvl w:val="0"/>
          <w:numId w:val="10"/>
        </w:numPr>
        <w:spacing w:after="40" w:line="245" w:lineRule="auto"/>
      </w:pPr>
      <w:r>
        <w:t>A. Fujimoto et al. Whole-genome sequencing of liver cancers identifies etiological influences on mutation patterns and recurrent mutations in chromatin regulators. Nat Genet. 44(7):760-764, 2012.</w:t>
      </w:r>
    </w:p>
    <w:p w14:paraId="7F03532B" w14:textId="77777777">
      <w:pPr>
        <w:pStyle w:val="a0"/>
        <w:numPr>
          <w:ilvl w:val="0"/>
          <w:numId w:val="10"/>
        </w:numPr>
        <w:spacing w:after="40" w:line="245" w:lineRule="auto"/>
      </w:pPr>
      <w:r>
        <w:t xml:space="preserve">M. Nagasaki et al. </w:t>
      </w:r>
      <w:r>
        <w:t>Rare variant discovery by deep whole-genome sequencing of 1,070 Japanese individuals. Nat Commun. 6:8018, 2015.</w:t>
      </w:r>
    </w:p>
    <w:p w14:paraId="3D9A9B26" w14:textId="77777777">
      <w:pPr>
        <w:pStyle w:val="a0"/>
        <w:numPr>
          <w:ilvl w:val="0"/>
          <w:numId w:val="10"/>
        </w:numPr>
        <w:spacing w:after="40" w:line="245" w:lineRule="auto"/>
      </w:pPr>
      <w:r>
        <w:t>Y. Yamaguchi-Kabata et al. iJGVD: an integrative Japanese genome variation database based on whole-genome sequencing. Hum Genome Var. 2:15050, 2</w:t>
      </w:r>
      <w:r>
        <w:t>015.</w:t>
      </w:r>
    </w:p>
    <w:p w14:paraId="6F3EC476" w14:textId="77777777">
      <w:pPr>
        <w:pStyle w:val="a0"/>
        <w:numPr>
          <w:ilvl w:val="0"/>
          <w:numId w:val="10"/>
        </w:numPr>
        <w:spacing w:after="40" w:line="245" w:lineRule="auto"/>
      </w:pPr>
      <w:r>
        <w:t>Y. Kawai et al. Japonica Array: improved genotype imputation by designing a population-specific SNP array with 1,070 Japanese individuals. J Hum Genet. 60(10):581-587, 2015.</w:t>
      </w:r>
    </w:p>
    <w:p w14:paraId="5603E3E5" w14:textId="77777777">
      <w:pPr>
        <w:pStyle w:val="a0"/>
        <w:numPr>
          <w:ilvl w:val="0"/>
          <w:numId w:val="10"/>
        </w:numPr>
        <w:spacing w:after="40" w:line="245" w:lineRule="auto"/>
      </w:pPr>
      <w:r>
        <w:t>M. Ueta et al. Genome-wide association study using the ethnicity-specific Jap</w:t>
      </w:r>
      <w:r>
        <w:t>onica Array: identification of new susceptibility loci for cold medicine-related Stevens-Johnson syndrome with severe ocular complications. J Hum Genet. 62(4):485-489, 2017.</w:t>
      </w:r>
    </w:p>
    <w:p w14:paraId="6E4A99F0" w14:textId="77777777">
      <w:pPr>
        <w:pStyle w:val="a0"/>
        <w:numPr>
          <w:ilvl w:val="0"/>
          <w:numId w:val="10"/>
        </w:numPr>
        <w:spacing w:after="40" w:line="245" w:lineRule="auto"/>
      </w:pPr>
      <w:r>
        <w:lastRenderedPageBreak/>
        <w:t>Y. Yamaguchi-Kabata et al. Evaluation of reported pathogenic variants and their fr</w:t>
      </w:r>
      <w:r>
        <w:t>equencies in a Japanese population based on a whole-genome reference panel of 2,049 individuals. J Hum Genet. 63(2):213-230, 2018.</w:t>
      </w:r>
    </w:p>
    <w:p w14:paraId="3F006C8C" w14:textId="77777777">
      <w:pPr>
        <w:pStyle w:val="a0"/>
        <w:numPr>
          <w:ilvl w:val="0"/>
          <w:numId w:val="10"/>
        </w:numPr>
        <w:spacing w:after="40" w:line="245" w:lineRule="auto"/>
      </w:pPr>
      <w:r>
        <w:t>J. Yasuda et al. Regional genetic differences among Japanese populations and performance of genotype imputation using whole-g</w:t>
      </w:r>
      <w:r>
        <w:t>enome reference panel of the Tohoku Medical Megabank Project. BMC Genomics. 19(1):551, 2018.</w:t>
      </w:r>
    </w:p>
    <w:p w14:paraId="0E51011E" w14:textId="77777777">
      <w:pPr>
        <w:pStyle w:val="a0"/>
        <w:numPr>
          <w:ilvl w:val="0"/>
          <w:numId w:val="10"/>
        </w:numPr>
        <w:spacing w:after="40" w:line="245" w:lineRule="auto"/>
      </w:pPr>
      <w:r>
        <w:t>Y. Yamaguchi-Kabata et al. Estimating carrier frequencies of newborn screening disorders using a whole-genome reference panel of 3,552 Japanese individuals. Hum Ge</w:t>
      </w:r>
      <w:r>
        <w:t>net. 138(4):389-409, 2019.</w:t>
      </w:r>
    </w:p>
    <w:p w14:paraId="54A48F99" w14:textId="77777777">
      <w:pPr>
        <w:pStyle w:val="a0"/>
        <w:numPr>
          <w:ilvl w:val="0"/>
          <w:numId w:val="10"/>
        </w:numPr>
        <w:spacing w:after="40" w:line="245" w:lineRule="auto"/>
      </w:pPr>
      <w:r>
        <w:t>D. Okamoto et al. Genetic analysis of ulcerative colitis in Japanese individuals using population-specific SNP Array. Inflamm Bowel Dis. 26(8):1177-1187, 2020.</w:t>
      </w:r>
    </w:p>
    <w:p w14:paraId="4825C729" w14:textId="77777777">
      <w:pPr>
        <w:pStyle w:val="a0"/>
        <w:numPr>
          <w:ilvl w:val="0"/>
          <w:numId w:val="10"/>
        </w:numPr>
        <w:spacing w:after="40" w:line="245" w:lineRule="auto"/>
      </w:pPr>
      <w:r>
        <w:t xml:space="preserve">R. Nakamura et al. A multi-ethnic meta-analysis identifies novel </w:t>
      </w:r>
      <w:r>
        <w:t>genes, including ACSL5, associated with amyotrophic lateral sclerosis. Commun Biol. 3:526, 2020.</w:t>
      </w:r>
    </w:p>
    <w:p w14:paraId="6C563CEB" w14:textId="77777777">
      <w:pPr>
        <w:pStyle w:val="a0"/>
        <w:numPr>
          <w:ilvl w:val="0"/>
          <w:numId w:val="10"/>
        </w:numPr>
        <w:spacing w:after="40" w:line="245" w:lineRule="auto"/>
      </w:pPr>
      <w:r>
        <w:t xml:space="preserve">H. J. Cordell et al. An international genome-wide meta-analysis of primary biliary cholangitis: novel risk loci and candidate drugs. J Hepatol. 75(3):572-581, </w:t>
      </w:r>
      <w:r>
        <w:t>2021.</w:t>
      </w:r>
    </w:p>
    <w:p w14:paraId="436BF915" w14:textId="77777777">
      <w:pPr>
        <w:pStyle w:val="a0"/>
        <w:numPr>
          <w:ilvl w:val="0"/>
          <w:numId w:val="10"/>
        </w:numPr>
        <w:spacing w:after="40" w:line="245" w:lineRule="auto"/>
      </w:pPr>
      <w:r>
        <w:t>M. Fujiwara et al. Secure secondary utilization system of genomic data using quantum secure cloud. Sci Rep. 12:18530, 2022.</w:t>
      </w:r>
    </w:p>
    <w:p w14:paraId="203F8242" w14:textId="77777777">
      <w:pPr>
        <w:pStyle w:val="a0"/>
        <w:numPr>
          <w:ilvl w:val="0"/>
          <w:numId w:val="10"/>
        </w:numPr>
        <w:spacing w:after="40" w:line="245" w:lineRule="auto"/>
      </w:pPr>
      <w:r>
        <w:t xml:space="preserve">M. Nagasaki et al. Design and implementation of a hybrid cloud system for large-scale human genomic research. Hum Genome Var. </w:t>
      </w:r>
      <w:r>
        <w:t>10:6, 2023.</w:t>
      </w:r>
    </w:p>
    <w:p w14:paraId="3F74D978" w14:textId="77777777">
      <w:pPr>
        <w:pStyle w:val="a0"/>
        <w:numPr>
          <w:ilvl w:val="0"/>
          <w:numId w:val="10"/>
        </w:numPr>
        <w:spacing w:after="40" w:line="245" w:lineRule="auto"/>
      </w:pPr>
      <w:r>
        <w:t>Z. Liu et al. Genetic architecture of the inflammatory bowel diseases across East Asian and European ancestries. Nat Genet. 55(5):796-806, 2023.</w:t>
      </w:r>
    </w:p>
    <w:p w14:paraId="00C7B2FB" w14:textId="77777777">
      <w:pPr>
        <w:pStyle w:val="a0"/>
        <w:numPr>
          <w:ilvl w:val="0"/>
          <w:numId w:val="10"/>
        </w:numPr>
        <w:spacing w:after="40" w:line="245" w:lineRule="auto"/>
      </w:pPr>
      <w:r>
        <w:t xml:space="preserve">M. Kulmanov et al. Phased genome assemblies and pangenome graphs of human populations of Japan and </w:t>
      </w:r>
      <w:r>
        <w:t>Saudi Arabia. Sci Data. 12(1):1316, 2025.</w:t>
      </w:r>
    </w:p>
    <w:p w14:paraId="0829E742" w14:textId="77777777">
      <w:pPr>
        <w:pStyle w:val="a0"/>
        <w:numPr>
          <w:ilvl w:val="0"/>
          <w:numId w:val="10"/>
        </w:numPr>
        <w:spacing w:after="40" w:line="245" w:lineRule="auto"/>
      </w:pPr>
      <w:r>
        <w:t>T. Matsubara et al. QTFPred: robust high-performance quantum machine learning modeling that predicts main and cooperative transcription factor bindings with base resolution. Brief Bioinform. 26(6):bbaf604, 2025.</w:t>
      </w:r>
    </w:p>
    <w:p w14:paraId="4A997890" w14:textId="77777777">
      <w:pPr>
        <w:pStyle w:val="a0"/>
        <w:numPr>
          <w:ilvl w:val="0"/>
          <w:numId w:val="10"/>
        </w:numPr>
        <w:spacing w:after="40" w:line="245" w:lineRule="auto"/>
      </w:pPr>
      <w:r>
        <w:t>M.</w:t>
      </w:r>
      <w:r>
        <w:t xml:space="preserve"> Nagasaki et al. JoGo 1.0: the ACTG hierarchical nomenclature and database covering 4.7 million haplotypes across 19,194 human genes. Nucleic Acids Res. 54(D1):D1159-D1173, 2026.</w:t>
      </w:r>
    </w:p>
    <w:sectPr>
      <w:footerReference w:type="default" r:id="rId8"/>
      <w:pgSz w:w="12240" w:h="15840"/>
      <w:pgMar w:top="792" w:right="893" w:bottom="792"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3691D" w14:textId="77777777">
      <w:pPr>
        <w:spacing w:after="0" w:line="240" w:lineRule="auto"/>
      </w:pPr>
      <w:r>
        <w:separator/>
      </w:r>
    </w:p>
  </w:endnote>
  <w:endnote w:type="continuationSeparator" w:id="0">
    <w:p w14:paraId="4F09E34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panose1 w:val="00000000000000000000"/>
    <w:charset w:val="00"/>
    <w:family w:val="roman"/>
    <w:notTrueType/>
    <w:pitch w:val="default"/>
  </w:font>
  <w:font w:name="Calibri">
    <w:panose1 w:val="020F0502020204030204"/>
    <w:charset w:val="00"/>
    <w:family w:val="swiss"/>
    <w:pitch w:val="variable"/>
    <w:sig w:usb0="E1002AFF" w:usb1="4000ACF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AEFA" w14:textId="77777777">
    <w:pPr>
      <w:pStyle w:val="a7"/>
      <w:jc w:val="center"/>
    </w:pPr>
    <w:r>
      <w:rPr>
        <w:color w:val="666666"/>
        <w:sz w:val="16"/>
      </w:rPr>
      <w:t>Masao Nagasaki, Ph.D. | Curriculum Vitae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62CE2" w14:textId="77777777">
      <w:pPr>
        <w:spacing w:after="0" w:line="240" w:lineRule="auto"/>
      </w:pPr>
      <w:r>
        <w:separator/>
      </w:r>
    </w:p>
  </w:footnote>
  <w:footnote w:type="continuationSeparator" w:id="0">
    <w:p w14:paraId="6C6E895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EEC6BDEE"/>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363E1B3B"/>
    <w:multiLevelType w:val="hybridMultilevel"/>
    <w:tmpl w:val="DA2EB8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26E7E"/>
    <w:rsid w:val="00531744"/>
    <w:rsid w:val="00572D64"/>
    <w:rsid w:val="006E67FF"/>
    <w:rsid w:val="00800E8C"/>
    <w:rsid w:val="008D625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20FBC50"/>
  <w14:defaultImageDpi w14:val="300"/>
  <w15:docId w15:val="{9286C973-C3FE-4187-9137-A274BD15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60" w:line="247" w:lineRule="auto"/>
    </w:pPr>
    <w:rPr>
      <w:rFonts w:ascii="Liberation Sans" w:eastAsia="Liberation Sans" w:hAnsi="Liberation Sans"/>
      <w:sz w:val="18"/>
    </w:rPr>
  </w:style>
  <w:style w:type="paragraph" w:styleId="1">
    <w:name w:val="heading 1"/>
    <w:basedOn w:val="a1"/>
    <w:next w:val="a1"/>
    <w:link w:val="10"/>
    <w:uiPriority w:val="9"/>
    <w:qFormat/>
    <w:rsid w:val="00FC693F"/>
    <w:pPr>
      <w:keepNext/>
      <w:keepLines/>
      <w:spacing w:before="140"/>
      <w:outlineLvl w:val="0"/>
    </w:pPr>
    <w:rPr>
      <w:rFonts w:asciiTheme="majorHAnsi" w:eastAsiaTheme="majorEastAsia" w:hAnsiTheme="majorHAnsi" w:cstheme="majorBidi"/>
      <w:b/>
      <w:bCs/>
      <w:color w:val="1F4E79"/>
      <w:sz w:val="24"/>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1F4E79"/>
      <w:sz w:val="21"/>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36"/>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1944</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generated by python-docx</dc:description>
  <cp:lastModifiedBy/>
  <cp:revision>3</cp:revision>
  <dcterms:created xsi:type="dcterms:W3CDTF">2026-05-07T07:22:00Z</dcterms:created>
  <dcterms:modified xsi:type="dcterms:W3CDTF">2026-05-07T07:55:00Z</dcterms:modified>
  <cp:category/>
</cp:coreProperties>
</file>